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764" w:rsidRDefault="00E11764" w:rsidP="00E11764">
      <w:pPr>
        <w:keepNext/>
        <w:widowControl w:val="0"/>
        <w:shd w:val="clear" w:color="auto" w:fill="FFFFFF"/>
        <w:tabs>
          <w:tab w:val="left" w:pos="2198"/>
        </w:tabs>
        <w:autoSpaceDE w:val="0"/>
        <w:autoSpaceDN w:val="0"/>
        <w:adjustRightInd w:val="0"/>
        <w:outlineLvl w:val="0"/>
        <w:rPr>
          <w:rFonts w:ascii="Times New Roman CYR" w:hAnsi="Times New Roman CYR"/>
          <w:b/>
          <w:bCs/>
          <w:sz w:val="20"/>
          <w:szCs w:val="20"/>
          <w:u w:val="single"/>
        </w:rPr>
      </w:pPr>
      <w:bookmarkStart w:id="0" w:name="_GoBack"/>
    </w:p>
    <w:p w:rsidR="00E11764" w:rsidRDefault="00E11764" w:rsidP="00B02BA0">
      <w:pPr>
        <w:keepNext/>
        <w:widowControl w:val="0"/>
        <w:shd w:val="clear" w:color="auto" w:fill="FFFFFF"/>
        <w:tabs>
          <w:tab w:val="left" w:pos="2198"/>
        </w:tabs>
        <w:autoSpaceDE w:val="0"/>
        <w:autoSpaceDN w:val="0"/>
        <w:adjustRightInd w:val="0"/>
        <w:jc w:val="center"/>
        <w:outlineLvl w:val="0"/>
        <w:rPr>
          <w:rFonts w:ascii="Times New Roman CYR" w:hAnsi="Times New Roman CYR"/>
          <w:b/>
          <w:bCs/>
          <w:sz w:val="20"/>
          <w:szCs w:val="20"/>
          <w:u w:val="single"/>
        </w:rPr>
      </w:pPr>
    </w:p>
    <w:p w:rsidR="00E11764" w:rsidRDefault="00E11764" w:rsidP="00B02BA0">
      <w:pPr>
        <w:keepNext/>
        <w:widowControl w:val="0"/>
        <w:shd w:val="clear" w:color="auto" w:fill="FFFFFF"/>
        <w:tabs>
          <w:tab w:val="left" w:pos="2198"/>
        </w:tabs>
        <w:autoSpaceDE w:val="0"/>
        <w:autoSpaceDN w:val="0"/>
        <w:adjustRightInd w:val="0"/>
        <w:jc w:val="center"/>
        <w:outlineLvl w:val="0"/>
        <w:rPr>
          <w:rFonts w:ascii="Times New Roman CYR" w:hAnsi="Times New Roman CYR"/>
          <w:b/>
          <w:bCs/>
          <w:sz w:val="20"/>
          <w:szCs w:val="20"/>
          <w:u w:val="single"/>
        </w:rPr>
      </w:pPr>
      <w:r>
        <w:rPr>
          <w:rFonts w:ascii="Times New Roman CYR" w:hAnsi="Times New Roman CYR"/>
          <w:b/>
          <w:bCs/>
          <w:noProof/>
          <w:sz w:val="20"/>
          <w:szCs w:val="20"/>
          <w:u w:val="single"/>
        </w:rPr>
        <w:drawing>
          <wp:inline distT="0" distB="0" distL="0" distR="0">
            <wp:extent cx="5940425" cy="7687609"/>
            <wp:effectExtent l="19050" t="0" r="3175" b="0"/>
            <wp:docPr id="1" name="Рисунок 1" descr="C:\Users\1\Pictures\2021-10-05\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Pictures\2021-10-05\003.jpg"/>
                    <pic:cNvPicPr>
                      <a:picLocks noChangeAspect="1" noChangeArrowheads="1"/>
                    </pic:cNvPicPr>
                  </pic:nvPicPr>
                  <pic:blipFill>
                    <a:blip r:embed="rId5" cstate="print"/>
                    <a:srcRect/>
                    <a:stretch>
                      <a:fillRect/>
                    </a:stretch>
                  </pic:blipFill>
                  <pic:spPr bwMode="auto">
                    <a:xfrm>
                      <a:off x="0" y="0"/>
                      <a:ext cx="5940425" cy="7687609"/>
                    </a:xfrm>
                    <a:prstGeom prst="rect">
                      <a:avLst/>
                    </a:prstGeom>
                    <a:noFill/>
                    <a:ln w="9525">
                      <a:noFill/>
                      <a:miter lim="800000"/>
                      <a:headEnd/>
                      <a:tailEnd/>
                    </a:ln>
                  </pic:spPr>
                </pic:pic>
              </a:graphicData>
            </a:graphic>
          </wp:inline>
        </w:drawing>
      </w:r>
    </w:p>
    <w:p w:rsidR="00E11764" w:rsidRDefault="00E11764" w:rsidP="00B02BA0">
      <w:pPr>
        <w:keepNext/>
        <w:widowControl w:val="0"/>
        <w:shd w:val="clear" w:color="auto" w:fill="FFFFFF"/>
        <w:tabs>
          <w:tab w:val="left" w:pos="2198"/>
        </w:tabs>
        <w:autoSpaceDE w:val="0"/>
        <w:autoSpaceDN w:val="0"/>
        <w:adjustRightInd w:val="0"/>
        <w:jc w:val="center"/>
        <w:outlineLvl w:val="0"/>
        <w:rPr>
          <w:rFonts w:ascii="Times New Roman CYR" w:hAnsi="Times New Roman CYR"/>
          <w:b/>
          <w:bCs/>
          <w:sz w:val="20"/>
          <w:szCs w:val="20"/>
          <w:u w:val="single"/>
        </w:rPr>
      </w:pPr>
    </w:p>
    <w:p w:rsidR="00E11764" w:rsidRDefault="00E11764" w:rsidP="00B02BA0">
      <w:pPr>
        <w:keepNext/>
        <w:widowControl w:val="0"/>
        <w:shd w:val="clear" w:color="auto" w:fill="FFFFFF"/>
        <w:tabs>
          <w:tab w:val="left" w:pos="2198"/>
        </w:tabs>
        <w:autoSpaceDE w:val="0"/>
        <w:autoSpaceDN w:val="0"/>
        <w:adjustRightInd w:val="0"/>
        <w:jc w:val="center"/>
        <w:outlineLvl w:val="0"/>
        <w:rPr>
          <w:rFonts w:ascii="Times New Roman CYR" w:hAnsi="Times New Roman CYR"/>
          <w:b/>
          <w:bCs/>
          <w:sz w:val="20"/>
          <w:szCs w:val="20"/>
          <w:u w:val="single"/>
        </w:rPr>
      </w:pPr>
    </w:p>
    <w:p w:rsidR="00E11764" w:rsidRDefault="00E11764" w:rsidP="00B02BA0">
      <w:pPr>
        <w:keepNext/>
        <w:widowControl w:val="0"/>
        <w:shd w:val="clear" w:color="auto" w:fill="FFFFFF"/>
        <w:tabs>
          <w:tab w:val="left" w:pos="2198"/>
        </w:tabs>
        <w:autoSpaceDE w:val="0"/>
        <w:autoSpaceDN w:val="0"/>
        <w:adjustRightInd w:val="0"/>
        <w:jc w:val="center"/>
        <w:outlineLvl w:val="0"/>
        <w:rPr>
          <w:rFonts w:ascii="Times New Roman CYR" w:hAnsi="Times New Roman CYR"/>
          <w:b/>
          <w:bCs/>
          <w:sz w:val="20"/>
          <w:szCs w:val="20"/>
          <w:u w:val="single"/>
        </w:rPr>
      </w:pPr>
    </w:p>
    <w:bookmarkEnd w:id="0"/>
    <w:p w:rsidR="00486B55" w:rsidRPr="00486B55" w:rsidRDefault="007669EF" w:rsidP="00885DC9">
      <w:pPr>
        <w:pStyle w:val="Default"/>
        <w:rPr>
          <w:rFonts w:ascii="Times New Roman" w:hAnsi="Times New Roman" w:cs="Times New Roman"/>
          <w:sz w:val="28"/>
          <w:szCs w:val="28"/>
        </w:rPr>
      </w:pPr>
      <w:r w:rsidRPr="00885DC9">
        <w:rPr>
          <w:rFonts w:ascii="Times New Roman" w:hAnsi="Times New Roman" w:cs="Times New Roman"/>
          <w:sz w:val="28"/>
          <w:szCs w:val="28"/>
        </w:rPr>
        <w:lastRenderedPageBreak/>
        <w:t xml:space="preserve">работодателя о фактах обращения в целях склонения работников организаций, созданных для выполнения задач, поставленных перед Министерством труда и социальной защиты Российской Федерации, к совершению коррупционных правонарушений» (далее- приказ Минтруда России № 231н); № 240н от 5 июня 2013г. «Об утверждении порядка представления гражданами, претендующими на замещение должностей, и </w:t>
      </w:r>
      <w:proofErr w:type="gramStart"/>
      <w:r w:rsidRPr="00885DC9">
        <w:rPr>
          <w:rFonts w:ascii="Times New Roman" w:hAnsi="Times New Roman" w:cs="Times New Roman"/>
          <w:sz w:val="28"/>
          <w:szCs w:val="28"/>
        </w:rPr>
        <w:t>работниками</w:t>
      </w:r>
      <w:proofErr w:type="gramEnd"/>
      <w:r w:rsidR="00885DC9">
        <w:rPr>
          <w:rFonts w:ascii="Times New Roman" w:hAnsi="Times New Roman" w:cs="Times New Roman"/>
          <w:sz w:val="28"/>
          <w:szCs w:val="28"/>
        </w:rPr>
        <w:t xml:space="preserve"> </w:t>
      </w:r>
      <w:r w:rsidR="00486B55" w:rsidRPr="00486B55">
        <w:rPr>
          <w:rFonts w:ascii="Times New Roman" w:hAnsi="Times New Roman" w:cs="Times New Roman"/>
          <w:sz w:val="28"/>
          <w:szCs w:val="28"/>
        </w:rPr>
        <w:t xml:space="preserve">замещающими должности в организациях, созданных для выполнения задач, поставленных перед Министерством труда и социальной защиты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(далее - приказ Минтруда </w:t>
      </w:r>
      <w:proofErr w:type="gramStart"/>
      <w:r w:rsidR="00486B55" w:rsidRPr="00486B55">
        <w:rPr>
          <w:rFonts w:ascii="Times New Roman" w:hAnsi="Times New Roman" w:cs="Times New Roman"/>
          <w:sz w:val="28"/>
          <w:szCs w:val="28"/>
        </w:rPr>
        <w:t>России №240н); № 258н от 13 июня 2013 г. «Об утверждении положения о проверке достоверности и полноты сведений, предоставляемых гражданами, претендующими на замещение отдельных должностей, и работниками, замещающими отдельные должности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 (далее – приказ Минтруда России. № 258н).</w:t>
      </w:r>
      <w:proofErr w:type="gramEnd"/>
      <w:r w:rsidR="00486B55" w:rsidRPr="00486B55">
        <w:rPr>
          <w:rFonts w:ascii="Times New Roman" w:hAnsi="Times New Roman" w:cs="Times New Roman"/>
          <w:sz w:val="28"/>
          <w:szCs w:val="28"/>
        </w:rPr>
        <w:t xml:space="preserve"> Методические рекомендации. Основные направления </w:t>
      </w:r>
      <w:proofErr w:type="spellStart"/>
      <w:r w:rsidR="00486B55" w:rsidRPr="00486B55">
        <w:rPr>
          <w:rFonts w:ascii="Times New Roman" w:hAnsi="Times New Roman" w:cs="Times New Roman"/>
          <w:sz w:val="28"/>
          <w:szCs w:val="28"/>
        </w:rPr>
        <w:t>антикоррупционной</w:t>
      </w:r>
      <w:proofErr w:type="spellEnd"/>
      <w:r w:rsidR="00486B55" w:rsidRPr="00486B55">
        <w:rPr>
          <w:rFonts w:ascii="Times New Roman" w:hAnsi="Times New Roman" w:cs="Times New Roman"/>
          <w:sz w:val="28"/>
          <w:szCs w:val="28"/>
        </w:rPr>
        <w:t xml:space="preserve"> деятельности в государственных (муниципальных) учреждениях, а также иных организациях, созданных для выполнения задач, поставленных перед исполнительными органами государственной власти Свердловской области и органами местного самоуправления муниципальных образования, расположенных на территории Свердловской области.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В соответствии со статьей 13.3 Федерального закона № 273-ФЗ организации обязаны разрабатывать и принимать меры по предупреждению коррупции.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Меры по предупреждению коррупции, принимаемые в организации, могут включать: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1) определение подразделений или должностных лиц, ответственных за профилактику коррупционных и иных правонарушений;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2) сотрудничество организации с правоохранительными органами;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3) разработку и внедрение в практику стандартов и процедур, направленных на обеспечение добросовестной работы организации;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4) принятие кодекса этики и служебного поведения работников организации;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5) предотвращение и урегулирование конфликта интересов;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6) недопущение составления неофициальной отчетности и использования поддельных документов.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b/>
          <w:bCs/>
          <w:sz w:val="28"/>
          <w:szCs w:val="28"/>
        </w:rPr>
        <w:t xml:space="preserve">2.Запреты, ограничения, обязанности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2.1.Работники, замещающие должности руководителей организаций и иные должности, предусмотренные приказом Минтруда России № 223н, обязаны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2.2. В случае непредставления по объективным причинам сведений о доходах, об имуществе и обязательствах имущественного характера супруги </w:t>
      </w:r>
      <w:r w:rsidRPr="00486B55">
        <w:rPr>
          <w:rFonts w:ascii="Times New Roman" w:hAnsi="Times New Roman" w:cs="Times New Roman"/>
          <w:sz w:val="28"/>
          <w:szCs w:val="28"/>
        </w:rPr>
        <w:lastRenderedPageBreak/>
        <w:t xml:space="preserve">(супруга) и (или) несовершеннолетних детей уведомить об этом работодателя.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2.3 Граждане, претендующие на замещение должностей руководителей организаций и иных должностей, предусмотренных приказом Минтруда России № 223н, представляют при назначении на должность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2.4. </w:t>
      </w:r>
      <w:proofErr w:type="gramStart"/>
      <w:r w:rsidRPr="00486B55">
        <w:rPr>
          <w:rFonts w:ascii="Times New Roman" w:hAnsi="Times New Roman" w:cs="Times New Roman"/>
          <w:sz w:val="28"/>
          <w:szCs w:val="28"/>
        </w:rPr>
        <w:t xml:space="preserve">Работники, замещающие должности руководителей организаций и иные должности, предусмотренные приказом Минтруда России № 223н, обязаны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w:t>
      </w:r>
      <w:proofErr w:type="gramEnd"/>
    </w:p>
    <w:p w:rsidR="00486B55" w:rsidRPr="00486B55" w:rsidRDefault="00486B55" w:rsidP="00486B55">
      <w:pPr>
        <w:pStyle w:val="a3"/>
        <w:rPr>
          <w:rFonts w:ascii="Times New Roman" w:hAnsi="Times New Roman" w:cs="Times New Roman"/>
          <w:sz w:val="28"/>
          <w:szCs w:val="28"/>
        </w:rPr>
      </w:pPr>
      <w:proofErr w:type="gramStart"/>
      <w:r w:rsidRPr="00486B55">
        <w:rPr>
          <w:rFonts w:ascii="Times New Roman" w:hAnsi="Times New Roman" w:cs="Times New Roman"/>
          <w:sz w:val="28"/>
          <w:szCs w:val="28"/>
        </w:rPr>
        <w:t xml:space="preserve">(складочных)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 </w:t>
      </w:r>
      <w:proofErr w:type="gramEnd"/>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2.5.Работники, замещающие должности руководителей организаций и иные должности, предусмотренные приказом Минтруда России № 223н, обязаны уведомлять работодателя (его представителя) и своего непосредственного начальника о возникшем конфликте интересов или о возможности его возникновения, как только ему станет об этом известно, в письменной форме.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2.6. Работодатель (его представитель), которому стало известно о возникновении у работника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2.7. Работник обязан уведомлять работодателя (его представителя), органы прокуратуры или другие государственные органы об обращении к нему каких-либо лиц в целях склонения к совершению коррупционных правонарушений.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2.8. Запрещается получать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2.9. </w:t>
      </w:r>
      <w:proofErr w:type="gramStart"/>
      <w:r w:rsidRPr="00486B55">
        <w:rPr>
          <w:rFonts w:ascii="Times New Roman" w:hAnsi="Times New Roman" w:cs="Times New Roman"/>
          <w:sz w:val="28"/>
          <w:szCs w:val="28"/>
        </w:rPr>
        <w:t xml:space="preserve">Работник обязан уведомлять работодателя (его представителя) о получении подарка в случае получения им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w:t>
      </w:r>
      <w:r w:rsidRPr="00486B55">
        <w:rPr>
          <w:rFonts w:ascii="Times New Roman" w:hAnsi="Times New Roman" w:cs="Times New Roman"/>
          <w:sz w:val="28"/>
          <w:szCs w:val="28"/>
        </w:rPr>
        <w:lastRenderedPageBreak/>
        <w:t>работника, и передавать указанный подарок, стоимость которого превышает 3 тыс. рублей, по акту соответственно в</w:t>
      </w:r>
      <w:proofErr w:type="gramEnd"/>
      <w:r w:rsidRPr="00486B55">
        <w:rPr>
          <w:rFonts w:ascii="Times New Roman" w:hAnsi="Times New Roman" w:cs="Times New Roman"/>
          <w:sz w:val="28"/>
          <w:szCs w:val="28"/>
        </w:rPr>
        <w:t xml:space="preserve"> организацию с сохранением возможности его выкупа в порядке, установленном нормативными правовыми актами Российской Федерации.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2.10. Работник не вправе принимать без письменного разрешения работодателя (его представителя) от иностранных государств, международных организаций награды, почетные и специальные звания (за исключением научных званий), если в его должностные обязанности входит взаимодействие с указанными организациями.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2.11. Работник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или российским законодательством.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2.12. Работник не вправе заниматься без письменного разрешения работодателя (его представителя)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или российским законодательством.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2.13.Работник обязан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в случае, если владение ценными бумагами, акциями (долями участия, паями в уставных (складочных) капиталах организаций) приводит или может привести к конфликту интересов.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b/>
          <w:bCs/>
          <w:sz w:val="28"/>
          <w:szCs w:val="28"/>
        </w:rPr>
        <w:t xml:space="preserve">3.Ответственность за несоблюдение предусмотренных ограничений и запретов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В соответствии со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Уголовная ответственность за преступления коррупционной направленности Нормативным правовым актом, устанавливающим уголовную ответственность, является Уголовный кодекс Российской Федерации. Перечень коррупционных преступлений Уголовным кодексом Российской Федерации прямо не устанавливается. К преступлениям коррупционной направленности относятся противоправные деяния связанные </w:t>
      </w:r>
      <w:proofErr w:type="gramStart"/>
      <w:r w:rsidRPr="00486B55">
        <w:rPr>
          <w:rFonts w:ascii="Times New Roman" w:hAnsi="Times New Roman" w:cs="Times New Roman"/>
          <w:sz w:val="28"/>
          <w:szCs w:val="28"/>
        </w:rPr>
        <w:t>с</w:t>
      </w:r>
      <w:proofErr w:type="gramEnd"/>
      <w:r w:rsidRPr="00486B55">
        <w:rPr>
          <w:rFonts w:ascii="Times New Roman" w:hAnsi="Times New Roman" w:cs="Times New Roman"/>
          <w:sz w:val="28"/>
          <w:szCs w:val="28"/>
        </w:rPr>
        <w:t xml:space="preserve"> злоупотреблением служебным положением, дачей взятки, получением взятки, злоупотреблением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w:t>
      </w:r>
      <w:r w:rsidRPr="00486B55">
        <w:rPr>
          <w:rFonts w:ascii="Times New Roman" w:hAnsi="Times New Roman" w:cs="Times New Roman"/>
          <w:sz w:val="28"/>
          <w:szCs w:val="28"/>
        </w:rPr>
        <w:lastRenderedPageBreak/>
        <w:t xml:space="preserve">другими физическими лицами, а также совершение вышеуказанных деяний от имени или в интересах юридического лица. Так, например, в соответствии с Указанием Генпрокуратуры России № 52-11 и МВД России № 2 от 15.02.2012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Мошенничество (статья 159)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Присвоение или растрата (статья 160)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Коммерческий подкуп (статья 204)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Злоупотребление должностными полномочиями (статья 285)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Нецелевое расходование бюджетных средств (статья 285.1)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Нецелевое расходование средств государственных внебюджетных фондов (статья 285.2)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Внесение в единые государственные реестры заведомо недостоверных сведений (статья 285.3)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Превышение должностных полномочий (статья 286)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Незаконное участие в предпринимательской деятельности (статья 289)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Получение взятки (статья 290)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Дача взятки (статья 291)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Посредничество во взяточничестве (статья 291.1)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Служебный подлог (статья 292)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Провокация взятки либо коммерческого подкупа (статья 304)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Подкуп или принуждение к даче показаний или уклонению от дачи показаний либо к неправильному переводу (статья 309) и другие.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За преступления коррупционной направленности Уголовным кодексом Российской Федерации предусмотрены следующие виды наказаний: штраф; лишение права занимать определенные должности или заниматься определенной деятельностью; обязательные работы; исправительные работы; принудительные работы; ограничение свободы; лишение свободы на определенный срок. Административная ответственность за коррупционные </w:t>
      </w:r>
      <w:proofErr w:type="gramStart"/>
      <w:r w:rsidRPr="00486B55">
        <w:rPr>
          <w:rFonts w:ascii="Times New Roman" w:hAnsi="Times New Roman" w:cs="Times New Roman"/>
          <w:sz w:val="28"/>
          <w:szCs w:val="28"/>
        </w:rPr>
        <w:t>правонарушении</w:t>
      </w:r>
      <w:proofErr w:type="gramEnd"/>
      <w:r w:rsidRPr="00486B55">
        <w:rPr>
          <w:rFonts w:ascii="Times New Roman" w:hAnsi="Times New Roman" w:cs="Times New Roman"/>
          <w:sz w:val="28"/>
          <w:szCs w:val="28"/>
        </w:rPr>
        <w:t xml:space="preserve"> 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 КОАП). </w:t>
      </w:r>
      <w:proofErr w:type="gramStart"/>
      <w:r w:rsidRPr="00486B55">
        <w:rPr>
          <w:rFonts w:ascii="Times New Roman" w:hAnsi="Times New Roman" w:cs="Times New Roman"/>
          <w:sz w:val="28"/>
          <w:szCs w:val="28"/>
        </w:rPr>
        <w:t xml:space="preserve">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 </w:t>
      </w:r>
      <w:proofErr w:type="gramEnd"/>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статья 5.17 «</w:t>
      </w:r>
      <w:proofErr w:type="spellStart"/>
      <w:r w:rsidRPr="00486B55">
        <w:rPr>
          <w:rFonts w:ascii="Times New Roman" w:hAnsi="Times New Roman" w:cs="Times New Roman"/>
          <w:sz w:val="28"/>
          <w:szCs w:val="28"/>
        </w:rPr>
        <w:t>Непредоставление</w:t>
      </w:r>
      <w:proofErr w:type="spellEnd"/>
      <w:r w:rsidRPr="00486B55">
        <w:rPr>
          <w:rFonts w:ascii="Times New Roman" w:hAnsi="Times New Roman" w:cs="Times New Roman"/>
          <w:sz w:val="28"/>
          <w:szCs w:val="28"/>
        </w:rPr>
        <w:t xml:space="preserve"> или </w:t>
      </w:r>
      <w:proofErr w:type="spellStart"/>
      <w:r w:rsidRPr="00486B55">
        <w:rPr>
          <w:rFonts w:ascii="Times New Roman" w:hAnsi="Times New Roman" w:cs="Times New Roman"/>
          <w:sz w:val="28"/>
          <w:szCs w:val="28"/>
        </w:rPr>
        <w:t>неопубликование</w:t>
      </w:r>
      <w:proofErr w:type="spellEnd"/>
      <w:r w:rsidRPr="00486B55">
        <w:rPr>
          <w:rFonts w:ascii="Times New Roman" w:hAnsi="Times New Roman" w:cs="Times New Roman"/>
          <w:sz w:val="28"/>
          <w:szCs w:val="28"/>
        </w:rPr>
        <w:t xml:space="preserve"> отчета, сведений о поступлении и расходовании средств, выделенных на подготовку и проведение выборов, референдума»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статья 5.20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w:t>
      </w:r>
      <w:r w:rsidRPr="00486B55">
        <w:rPr>
          <w:rFonts w:ascii="Times New Roman" w:hAnsi="Times New Roman" w:cs="Times New Roman"/>
          <w:sz w:val="28"/>
          <w:szCs w:val="28"/>
        </w:rPr>
        <w:lastRenderedPageBreak/>
        <w:t xml:space="preserve">оказание услуг, реализация товаров бесплатно или по необоснованно заниженным (завышенным) расценкам»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статья 5.45 «Использование преимуществ должностного или служебного положения в период избирательной кампании, кампании референдума»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статья 5.50 «Нарушение правил перечисления средств, внесенных в избирательный фонд, фонд референдума»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статья 7.27 «Мелкое хищение» (в случае совершения соответствующего действия путем присвоения или растраты)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статья 7.30 «Нарушение порядка размещения заказа на поставки товаров, выполнение работ, оказание услуг для нужд заказчиков»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статья 14.9 «Ограничение конкуренции органами власти, органами местного самоуправления»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статья 15.21 «Использование служебной информации на рынке ценных бумаг»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статья 19.28 «Незаконное вознаграждение от имени юридического лица»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статья 19.29 «Незаконное привлечение к трудовой деятельности государственного служащего (бывшего государственного служащего)» и другие.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административный штраф;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административный арест;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дисквалификация.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b/>
          <w:bCs/>
          <w:sz w:val="28"/>
          <w:szCs w:val="28"/>
        </w:rPr>
        <w:t xml:space="preserve">Гражданско-правовая ответственность за коррупционные правонарушения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деликатные обязательства (обязательства вследствие причинения вреда). Так, например, согласно ст. 1068 Гражданского кодекса Российской Федерации юридическое лицо либо гражданин возмещает вред, причиненный его работником при исполнении трудовых (служебных, должностных) обязанностей. </w:t>
      </w:r>
      <w:proofErr w:type="gramStart"/>
      <w:r w:rsidRPr="00486B55">
        <w:rPr>
          <w:rFonts w:ascii="Times New Roman" w:hAnsi="Times New Roman" w:cs="Times New Roman"/>
          <w:sz w:val="28"/>
          <w:szCs w:val="28"/>
        </w:rPr>
        <w:t xml:space="preserve">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 </w:t>
      </w:r>
      <w:proofErr w:type="gramEnd"/>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b/>
          <w:bCs/>
          <w:sz w:val="28"/>
          <w:szCs w:val="28"/>
        </w:rPr>
        <w:t xml:space="preserve">Дисциплинарная ответственность за коррупционные правонарушения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Это нарушения законодательных запретов, требований и ограничений, установленных для работников в целях предупреждения коррупции, которые являются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lastRenderedPageBreak/>
        <w:t xml:space="preserve">основанием для применения дисциплинарных взысканий. В соответствии со статьей 192 Трудового кодекса Российской Федерации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1) замечание; </w:t>
      </w:r>
    </w:p>
    <w:p w:rsidR="00486B55"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2) выговор; </w:t>
      </w:r>
    </w:p>
    <w:p w:rsidR="00FD403C" w:rsidRPr="00486B55" w:rsidRDefault="00486B55" w:rsidP="00486B55">
      <w:pPr>
        <w:pStyle w:val="a3"/>
        <w:rPr>
          <w:rFonts w:ascii="Times New Roman" w:hAnsi="Times New Roman" w:cs="Times New Roman"/>
          <w:sz w:val="28"/>
          <w:szCs w:val="28"/>
        </w:rPr>
      </w:pPr>
      <w:r w:rsidRPr="00486B55">
        <w:rPr>
          <w:rFonts w:ascii="Times New Roman" w:hAnsi="Times New Roman" w:cs="Times New Roman"/>
          <w:sz w:val="28"/>
          <w:szCs w:val="28"/>
        </w:rPr>
        <w:t xml:space="preserve">3) увольнение по соответствующим основаниям. Так, например, в соответствии с пунктом 7.1 части 1 статьи 81 Трудового кодекса Российской Федерации трудовой </w:t>
      </w:r>
      <w:proofErr w:type="gramStart"/>
      <w:r w:rsidRPr="00486B55">
        <w:rPr>
          <w:rFonts w:ascii="Times New Roman" w:hAnsi="Times New Roman" w:cs="Times New Roman"/>
          <w:sz w:val="28"/>
          <w:szCs w:val="28"/>
        </w:rPr>
        <w:t>договор</w:t>
      </w:r>
      <w:proofErr w:type="gramEnd"/>
      <w:r w:rsidRPr="00486B55">
        <w:rPr>
          <w:rFonts w:ascii="Times New Roman" w:hAnsi="Times New Roman" w:cs="Times New Roman"/>
          <w:sz w:val="28"/>
          <w:szCs w:val="28"/>
        </w:rPr>
        <w:t xml:space="preserve"> может быть расторгнут работодателем в случаях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w:t>
      </w:r>
      <w:proofErr w:type="gramStart"/>
      <w:r w:rsidRPr="00486B55">
        <w:rPr>
          <w:rFonts w:ascii="Times New Roman" w:hAnsi="Times New Roman" w:cs="Times New Roman"/>
          <w:sz w:val="28"/>
          <w:szCs w:val="28"/>
        </w:rPr>
        <w:t>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в случаях, предусмотренных Трудовым кодексом Российской Федерации,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roofErr w:type="gramEnd"/>
      <w:r w:rsidRPr="00486B55">
        <w:rPr>
          <w:rFonts w:ascii="Times New Roman" w:hAnsi="Times New Roman" w:cs="Times New Roman"/>
          <w:sz w:val="28"/>
          <w:szCs w:val="28"/>
        </w:rPr>
        <w:t xml:space="preserve"> С руководителем унитарного предприятия трудовой </w:t>
      </w:r>
      <w:proofErr w:type="gramStart"/>
      <w:r w:rsidRPr="00486B55">
        <w:rPr>
          <w:rFonts w:ascii="Times New Roman" w:hAnsi="Times New Roman" w:cs="Times New Roman"/>
          <w:sz w:val="28"/>
          <w:szCs w:val="28"/>
        </w:rPr>
        <w:t>договор</w:t>
      </w:r>
      <w:proofErr w:type="gramEnd"/>
      <w:r w:rsidRPr="00486B55">
        <w:rPr>
          <w:rFonts w:ascii="Times New Roman" w:hAnsi="Times New Roman" w:cs="Times New Roman"/>
          <w:sz w:val="28"/>
          <w:szCs w:val="28"/>
        </w:rPr>
        <w:t xml:space="preserve"> может быть расторгнут в соответствии с пунктом 3 статьи 278 Трудового кодекса Российской Федерации в связи с нарушением запретов, установленных пунктом 2 статьи 21 Федерального закона от 14 ноября 2002 г. № 161-ФЗ «О государственных и муниципальных унитарных предприятиях». </w:t>
      </w:r>
      <w:proofErr w:type="gramStart"/>
      <w:r w:rsidRPr="00486B55">
        <w:rPr>
          <w:rFonts w:ascii="Times New Roman" w:hAnsi="Times New Roman" w:cs="Times New Roman"/>
          <w:sz w:val="28"/>
          <w:szCs w:val="28"/>
        </w:rPr>
        <w:t>Кроме того, в соответствии с частью 8 статьи 8 Федерального закона № 273-ФЗ, непредставление гражданином при поступлении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w:t>
      </w:r>
      <w:proofErr w:type="gramEnd"/>
      <w:r w:rsidRPr="00486B55">
        <w:rPr>
          <w:rFonts w:ascii="Times New Roman" w:hAnsi="Times New Roman" w:cs="Times New Roman"/>
          <w:sz w:val="28"/>
          <w:szCs w:val="28"/>
        </w:rPr>
        <w:t>)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работу в данную организацию.</w:t>
      </w:r>
    </w:p>
    <w:sectPr w:rsidR="00FD403C" w:rsidRPr="00486B55" w:rsidSect="007669EF">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Liberation Serif"/>
    <w:panose1 w:val="00000000000000000000"/>
    <w:charset w:val="CC"/>
    <w:family w:val="roman"/>
    <w:notTrueType/>
    <w:pitch w:val="default"/>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486B55"/>
    <w:rsid w:val="002766F1"/>
    <w:rsid w:val="003C2A23"/>
    <w:rsid w:val="00486B55"/>
    <w:rsid w:val="007669EF"/>
    <w:rsid w:val="00885DC9"/>
    <w:rsid w:val="00992C50"/>
    <w:rsid w:val="009C36E6"/>
    <w:rsid w:val="00B02BA0"/>
    <w:rsid w:val="00BE3379"/>
    <w:rsid w:val="00E11764"/>
    <w:rsid w:val="00FC4C50"/>
    <w:rsid w:val="00FD40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6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86B55"/>
    <w:pPr>
      <w:autoSpaceDE w:val="0"/>
      <w:autoSpaceDN w:val="0"/>
      <w:adjustRightInd w:val="0"/>
      <w:spacing w:after="0" w:line="240" w:lineRule="auto"/>
    </w:pPr>
    <w:rPr>
      <w:rFonts w:ascii="Liberation Serif" w:hAnsi="Liberation Serif" w:cs="Liberation Serif"/>
      <w:color w:val="000000"/>
      <w:sz w:val="24"/>
      <w:szCs w:val="24"/>
    </w:rPr>
  </w:style>
  <w:style w:type="paragraph" w:styleId="a3">
    <w:name w:val="No Spacing"/>
    <w:uiPriority w:val="1"/>
    <w:qFormat/>
    <w:rsid w:val="00486B55"/>
    <w:pPr>
      <w:spacing w:after="0" w:line="240" w:lineRule="auto"/>
    </w:pPr>
  </w:style>
  <w:style w:type="paragraph" w:styleId="a4">
    <w:name w:val="Balloon Text"/>
    <w:basedOn w:val="a"/>
    <w:link w:val="a5"/>
    <w:uiPriority w:val="99"/>
    <w:semiHidden/>
    <w:unhideWhenUsed/>
    <w:rsid w:val="00B02BA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2B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DC8F7-79E1-4D31-BBD8-151B3D761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2442</Words>
  <Characters>13924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dcterms:created xsi:type="dcterms:W3CDTF">2021-10-05T06:27:00Z</dcterms:created>
  <dcterms:modified xsi:type="dcterms:W3CDTF">2021-10-05T12:44:00Z</dcterms:modified>
</cp:coreProperties>
</file>